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683" w:rsidRDefault="00126C19">
      <w:pPr>
        <w:spacing w:after="0" w:line="259" w:lineRule="auto"/>
        <w:ind w:left="0" w:firstLine="0"/>
      </w:pPr>
      <w:r>
        <w:rPr>
          <w:rFonts w:ascii="Calibri" w:eastAsia="Calibri" w:hAnsi="Calibri" w:cs="Calibri"/>
          <w:b/>
          <w:sz w:val="24"/>
        </w:rPr>
        <w:t xml:space="preserve">FIRST REGIONAL LIBRARY                                                    JOB VACANCY NOTICE: OLIVE BRANCH, MS  </w:t>
      </w:r>
    </w:p>
    <w:p w:rsidR="000E4683" w:rsidRDefault="00126C19">
      <w:pPr>
        <w:spacing w:after="25" w:line="259" w:lineRule="auto"/>
        <w:ind w:lef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E4683" w:rsidRDefault="00126C19">
      <w:pPr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spacing w:after="46" w:line="259" w:lineRule="auto"/>
        <w:ind w:left="0" w:firstLine="0"/>
      </w:pPr>
      <w:r>
        <w:rPr>
          <w:rFonts w:ascii="Times New Roman" w:eastAsia="Times New Roman" w:hAnsi="Times New Roman" w:cs="Times New Roman"/>
        </w:rPr>
        <w:t>Posting Date:  April 1, 2025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Removal date: Until Filled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0E4683" w:rsidRDefault="00126C19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11481" w:type="dxa"/>
        <w:tblInd w:w="-78" w:type="dxa"/>
        <w:tblCellMar>
          <w:top w:w="32" w:type="dxa"/>
          <w:left w:w="7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481"/>
      </w:tblGrid>
      <w:tr w:rsidR="000E4683">
        <w:trPr>
          <w:trHeight w:val="273"/>
        </w:trPr>
        <w:tc>
          <w:tcPr>
            <w:tcW w:w="1148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5E5E5"/>
          </w:tcPr>
          <w:p w:rsidR="000E4683" w:rsidRDefault="00126C19" w:rsidP="00126C19">
            <w:pPr>
              <w:spacing w:after="0" w:line="259" w:lineRule="auto"/>
              <w:ind w:left="0" w:firstLine="0"/>
            </w:pPr>
            <w:r>
              <w:rPr>
                <w:b/>
              </w:rPr>
              <w:t>Location:            SOUTHAVEN, MS</w:t>
            </w:r>
            <w:bookmarkStart w:id="0" w:name="_GoBack"/>
            <w:bookmarkEnd w:id="0"/>
            <w:r>
              <w:rPr>
                <w:b/>
              </w:rPr>
              <w:t xml:space="preserve">  </w:t>
            </w:r>
          </w:p>
        </w:tc>
      </w:tr>
      <w:tr w:rsidR="000E4683">
        <w:trPr>
          <w:trHeight w:val="276"/>
        </w:trPr>
        <w:tc>
          <w:tcPr>
            <w:tcW w:w="114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5E5E5"/>
          </w:tcPr>
          <w:p w:rsidR="000E4683" w:rsidRDefault="00126C19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Position:             YOUTH SPECIALIST  </w:t>
            </w:r>
          </w:p>
        </w:tc>
      </w:tr>
      <w:tr w:rsidR="000E4683">
        <w:trPr>
          <w:trHeight w:val="269"/>
        </w:trPr>
        <w:tc>
          <w:tcPr>
            <w:tcW w:w="1148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:rsidR="000E4683" w:rsidRDefault="00126C19" w:rsidP="00126C19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Department:       SOUTHAVEN, </w:t>
            </w:r>
            <w:r>
              <w:rPr>
                <w:b/>
              </w:rPr>
              <w:t xml:space="preserve">MS </w:t>
            </w:r>
          </w:p>
        </w:tc>
      </w:tr>
      <w:tr w:rsidR="000E4683">
        <w:trPr>
          <w:trHeight w:val="245"/>
        </w:trPr>
        <w:tc>
          <w:tcPr>
            <w:tcW w:w="1148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5E5E5"/>
          </w:tcPr>
          <w:p w:rsidR="000E4683" w:rsidRDefault="00126C19" w:rsidP="00126C1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Reports to:          </w:t>
            </w:r>
            <w:proofErr w:type="spellStart"/>
            <w:r w:rsidRPr="00126C19">
              <w:rPr>
                <w:rFonts w:ascii="Times New Roman" w:eastAsia="Times New Roman" w:hAnsi="Times New Roman" w:cs="Times New Roman"/>
                <w:b/>
                <w:sz w:val="20"/>
              </w:rPr>
              <w:t>Yalanda</w:t>
            </w:r>
            <w:proofErr w:type="spellEnd"/>
            <w:r w:rsidRPr="00126C1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126C19">
              <w:rPr>
                <w:rFonts w:ascii="Times New Roman" w:eastAsia="Times New Roman" w:hAnsi="Times New Roman" w:cs="Times New Roman"/>
                <w:b/>
                <w:sz w:val="20"/>
              </w:rPr>
              <w:t>Priddy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0E4683">
        <w:trPr>
          <w:trHeight w:val="260"/>
        </w:trPr>
        <w:tc>
          <w:tcPr>
            <w:tcW w:w="1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0E4683" w:rsidRDefault="00126C19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Status:                 Exempt      </w:t>
            </w:r>
            <w:r>
              <w:rPr>
                <w:rFonts w:ascii="Wingdings 2" w:eastAsia="Wingdings 2" w:hAnsi="Wingdings 2" w:cs="Wingdings 2"/>
              </w:rPr>
              <w:t></w:t>
            </w:r>
            <w:r>
              <w:rPr>
                <w:rFonts w:ascii="Wingdings 2" w:eastAsia="Wingdings 2" w:hAnsi="Wingdings 2" w:cs="Wingdings 2"/>
              </w:rPr>
              <w:t></w:t>
            </w:r>
            <w:r>
              <w:rPr>
                <w:b/>
                <w:u w:val="single" w:color="000000"/>
              </w:rPr>
              <w:t xml:space="preserve"> </w:t>
            </w:r>
            <w:r>
              <w:rPr>
                <w:b/>
              </w:rPr>
              <w:t xml:space="preserve">Non-Exempt   (Full-Time)             </w:t>
            </w:r>
          </w:p>
        </w:tc>
      </w:tr>
    </w:tbl>
    <w:p w:rsidR="000E4683" w:rsidRDefault="00126C19">
      <w:pPr>
        <w:spacing w:after="19" w:line="259" w:lineRule="auto"/>
        <w:ind w:left="0" w:firstLine="0"/>
      </w:pPr>
      <w:r>
        <w:rPr>
          <w:b/>
        </w:rPr>
        <w:t xml:space="preserve"> </w:t>
      </w:r>
    </w:p>
    <w:p w:rsidR="000E4683" w:rsidRDefault="00126C1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E5E5E5"/>
        <w:spacing w:after="16" w:line="259" w:lineRule="auto"/>
        <w:ind w:left="-5"/>
      </w:pPr>
      <w:r>
        <w:rPr>
          <w:b/>
        </w:rPr>
        <w:t xml:space="preserve">DUTIES AND RESPONSIBILITIES: </w:t>
      </w:r>
    </w:p>
    <w:p w:rsidR="000E4683" w:rsidRDefault="00126C19">
      <w:r>
        <w:t>The Youth Specialist is an enthusiastic, compassionate, self-</w:t>
      </w:r>
      <w:r>
        <w:t>motivated, problem solving, creative individual who connects with youth and families, establishes community relationships, and organizes programs that support early literacy and school success. Our ideal candidate is a curious, reflective person who is com</w:t>
      </w:r>
      <w:r>
        <w:t xml:space="preserve">mitted to lifelong learning </w:t>
      </w:r>
    </w:p>
    <w:p w:rsidR="000E4683" w:rsidRDefault="00126C19">
      <w:proofErr w:type="gramStart"/>
      <w:r>
        <w:t>and</w:t>
      </w:r>
      <w:proofErr w:type="gramEnd"/>
      <w:r>
        <w:t xml:space="preserve"> the core principles of youth librarianship. While First Regional Library Youth Specialists typically serve children and teens from ages 0-18 and their adults, Youth Specialists at some branches may focus more specifically o</w:t>
      </w:r>
      <w:r>
        <w:t xml:space="preserve">n children or teens, at the direction of the branch manager. </w:t>
      </w:r>
    </w:p>
    <w:p w:rsidR="000E4683" w:rsidRDefault="00126C19">
      <w:pPr>
        <w:spacing w:after="0" w:line="259" w:lineRule="auto"/>
        <w:ind w:left="0" w:firstLine="0"/>
      </w:pPr>
      <w:r>
        <w:t xml:space="preserve"> </w:t>
      </w:r>
    </w:p>
    <w:p w:rsidR="000E4683" w:rsidRDefault="00126C19">
      <w:pPr>
        <w:spacing w:after="70"/>
      </w:pPr>
      <w:r>
        <w:t xml:space="preserve">The Youth Specialist helps lead all aspects of youth service at the branch, including: </w:t>
      </w:r>
    </w:p>
    <w:p w:rsidR="000E4683" w:rsidRDefault="00126C19">
      <w:pPr>
        <w:numPr>
          <w:ilvl w:val="0"/>
          <w:numId w:val="1"/>
        </w:numPr>
        <w:spacing w:after="71"/>
        <w:ind w:hanging="360"/>
      </w:pPr>
      <w:r>
        <w:rPr>
          <w:b/>
        </w:rPr>
        <w:t xml:space="preserve">Impacting the lives of youth </w:t>
      </w:r>
      <w:r>
        <w:t>- promotes reading, information literacy, school success, and library usage</w:t>
      </w:r>
      <w:r>
        <w:t>; recommends services and procedures to best serve all youth and families; ensures equity of access for all youth.</w:t>
      </w:r>
      <w:r>
        <w:rPr>
          <w:b/>
        </w:rPr>
        <w:t xml:space="preserve"> </w:t>
      </w:r>
    </w:p>
    <w:p w:rsidR="000E4683" w:rsidRDefault="00126C19">
      <w:pPr>
        <w:numPr>
          <w:ilvl w:val="0"/>
          <w:numId w:val="1"/>
        </w:numPr>
        <w:spacing w:after="72"/>
        <w:ind w:hanging="360"/>
      </w:pPr>
      <w:r>
        <w:rPr>
          <w:b/>
        </w:rPr>
        <w:t>Partnerships</w:t>
      </w:r>
      <w:r>
        <w:t xml:space="preserve"> - adopts a community engagement mindset and develops and maintains effective relationships with schools, community groups, agen</w:t>
      </w:r>
      <w:r>
        <w:t>cies and nonprofits that target youth in order to plan and deliver programs, services, and initiatives that meet young adults’ needs and interests; educates the public about the value of public libraries and the profession; creatively promotes library serv</w:t>
      </w:r>
      <w:r>
        <w:t xml:space="preserve">ices. </w:t>
      </w:r>
      <w:r>
        <w:rPr>
          <w:b/>
        </w:rPr>
        <w:t xml:space="preserve"> </w:t>
      </w:r>
    </w:p>
    <w:p w:rsidR="000E4683" w:rsidRDefault="00126C19">
      <w:pPr>
        <w:numPr>
          <w:ilvl w:val="0"/>
          <w:numId w:val="1"/>
        </w:numPr>
        <w:spacing w:after="72"/>
        <w:ind w:hanging="360"/>
      </w:pPr>
      <w:r>
        <w:rPr>
          <w:b/>
        </w:rPr>
        <w:t>Programs</w:t>
      </w:r>
      <w:r>
        <w:t xml:space="preserve"> - designs and implements programming that instills curiosity and stimulates a desire for mastery for all children, teens, and caregivers, both in the library and in the community, including but not limited to Summer Library. Programs and S</w:t>
      </w:r>
      <w:r>
        <w:t>TEAM programming; accurately maintains program records and ensures that programs reflect the needs of the community.</w:t>
      </w:r>
      <w:r>
        <w:rPr>
          <w:b/>
        </w:rPr>
        <w:t xml:space="preserve"> </w:t>
      </w:r>
    </w:p>
    <w:p w:rsidR="000E4683" w:rsidRDefault="00126C19">
      <w:pPr>
        <w:numPr>
          <w:ilvl w:val="0"/>
          <w:numId w:val="1"/>
        </w:numPr>
        <w:spacing w:after="71"/>
        <w:ind w:hanging="360"/>
      </w:pPr>
      <w:r>
        <w:rPr>
          <w:b/>
        </w:rPr>
        <w:t xml:space="preserve">Collections </w:t>
      </w:r>
      <w:r>
        <w:t>- supports balanced, community-minded children’s and teens collections; creates developmentally-appropriate learning environme</w:t>
      </w:r>
      <w:r>
        <w:t>nts; advocates for the rights of all readers.</w:t>
      </w:r>
      <w:r>
        <w:rPr>
          <w:b/>
        </w:rPr>
        <w:t xml:space="preserve"> </w:t>
      </w:r>
    </w:p>
    <w:p w:rsidR="000E4683" w:rsidRDefault="00126C19">
      <w:pPr>
        <w:numPr>
          <w:ilvl w:val="0"/>
          <w:numId w:val="1"/>
        </w:numPr>
        <w:ind w:hanging="360"/>
      </w:pPr>
      <w:r>
        <w:rPr>
          <w:b/>
        </w:rPr>
        <w:t>Customer Service</w:t>
      </w:r>
      <w:r>
        <w:t xml:space="preserve"> - assists patrons of all ages and backgrounds with a complete range of library services at a circulation desk or portable circulation computer.</w:t>
      </w:r>
      <w:r>
        <w:rPr>
          <w:b/>
        </w:rPr>
        <w:t xml:space="preserve"> </w:t>
      </w:r>
    </w:p>
    <w:p w:rsidR="000E4683" w:rsidRDefault="00126C19">
      <w:pPr>
        <w:numPr>
          <w:ilvl w:val="0"/>
          <w:numId w:val="1"/>
        </w:numPr>
        <w:ind w:hanging="360"/>
      </w:pPr>
      <w:r>
        <w:t xml:space="preserve">Perform other duties as assigned or required. </w:t>
      </w:r>
    </w:p>
    <w:p w:rsidR="000E4683" w:rsidRDefault="00126C19">
      <w:pPr>
        <w:spacing w:after="19" w:line="259" w:lineRule="auto"/>
        <w:ind w:left="0" w:firstLine="0"/>
      </w:pPr>
      <w:r>
        <w:t xml:space="preserve"> </w:t>
      </w:r>
    </w:p>
    <w:p w:rsidR="000E4683" w:rsidRDefault="00126C1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E5E5E5"/>
        <w:spacing w:after="95" w:line="259" w:lineRule="auto"/>
        <w:ind w:left="-5"/>
      </w:pPr>
      <w:r>
        <w:rPr>
          <w:b/>
        </w:rPr>
        <w:t xml:space="preserve">MINIMUM REQUIREMENTS:   </w:t>
      </w:r>
    </w:p>
    <w:p w:rsidR="000E4683" w:rsidRDefault="00126C19">
      <w:pPr>
        <w:numPr>
          <w:ilvl w:val="0"/>
          <w:numId w:val="1"/>
        </w:numPr>
        <w:ind w:hanging="360"/>
      </w:pPr>
      <w:r>
        <w:t xml:space="preserve">Associate’s Degree </w:t>
      </w:r>
    </w:p>
    <w:p w:rsidR="000E4683" w:rsidRDefault="00126C19">
      <w:pPr>
        <w:numPr>
          <w:ilvl w:val="0"/>
          <w:numId w:val="1"/>
        </w:numPr>
        <w:ind w:hanging="360"/>
      </w:pPr>
      <w:r>
        <w:t xml:space="preserve">Ability to work mornings, evenings, and weekends </w:t>
      </w:r>
    </w:p>
    <w:p w:rsidR="000E4683" w:rsidRDefault="00126C19">
      <w:pPr>
        <w:numPr>
          <w:ilvl w:val="0"/>
          <w:numId w:val="1"/>
        </w:numPr>
        <w:ind w:hanging="360"/>
      </w:pPr>
      <w:r>
        <w:t xml:space="preserve">Experience working with youth in a group setting and/or coursework in education </w:t>
      </w:r>
    </w:p>
    <w:p w:rsidR="000E4683" w:rsidRDefault="00126C19">
      <w:pPr>
        <w:numPr>
          <w:ilvl w:val="0"/>
          <w:numId w:val="1"/>
        </w:numPr>
        <w:ind w:hanging="360"/>
      </w:pPr>
      <w:r>
        <w:t xml:space="preserve">Excellent customer service skills </w:t>
      </w:r>
    </w:p>
    <w:p w:rsidR="000E4683" w:rsidRDefault="00126C19">
      <w:pPr>
        <w:numPr>
          <w:ilvl w:val="0"/>
          <w:numId w:val="1"/>
        </w:numPr>
        <w:spacing w:after="71"/>
        <w:ind w:hanging="360"/>
      </w:pPr>
      <w:r>
        <w:t xml:space="preserve">Ability to learn and use the Library’s computerized circulation system as well as other workplace technologies, especially Microsoft Office Suite, G Suite, and social media applications  </w:t>
      </w:r>
    </w:p>
    <w:p w:rsidR="000E4683" w:rsidRDefault="00126C19">
      <w:pPr>
        <w:numPr>
          <w:ilvl w:val="0"/>
          <w:numId w:val="1"/>
        </w:numPr>
        <w:ind w:hanging="360"/>
      </w:pPr>
      <w:r>
        <w:t>Ability to lift 30-40 pound filled book bins, set up tables, move ch</w:t>
      </w:r>
      <w:r>
        <w:t xml:space="preserve">airs for programming </w:t>
      </w:r>
    </w:p>
    <w:p w:rsidR="000E4683" w:rsidRDefault="00126C19">
      <w:pPr>
        <w:numPr>
          <w:ilvl w:val="0"/>
          <w:numId w:val="1"/>
        </w:numPr>
        <w:ind w:hanging="360"/>
      </w:pPr>
      <w:r>
        <w:t xml:space="preserve">A genuine appreciation for youth from birth through high school and comfort in working with youth both individually and in groups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sz w:val="20"/>
        </w:rPr>
        <w:t xml:space="preserve"> </w:t>
      </w:r>
      <w:r>
        <w:rPr>
          <w:sz w:val="20"/>
        </w:rPr>
        <w:tab/>
      </w:r>
      <w:r>
        <w:t xml:space="preserve">Commitment to cultural humility in serving diverse populations </w:t>
      </w:r>
    </w:p>
    <w:p w:rsidR="000E4683" w:rsidRDefault="00126C19">
      <w:pPr>
        <w:numPr>
          <w:ilvl w:val="0"/>
          <w:numId w:val="1"/>
        </w:numPr>
        <w:spacing w:after="71"/>
        <w:ind w:hanging="360"/>
      </w:pPr>
      <w:r>
        <w:t>Excellent verbal and written communic</w:t>
      </w:r>
      <w:r>
        <w:t xml:space="preserve">ation skills, ability to effectively present library programs to all ages with special emphasis on programs for youth, ability to read aloud clearly and dramatically </w:t>
      </w:r>
    </w:p>
    <w:p w:rsidR="000E4683" w:rsidRDefault="00126C19">
      <w:pPr>
        <w:numPr>
          <w:ilvl w:val="0"/>
          <w:numId w:val="1"/>
        </w:numPr>
        <w:ind w:hanging="360"/>
      </w:pPr>
      <w:r>
        <w:t>Excellent interpersonal skills to interact with staff and patrons of all ages, from all b</w:t>
      </w:r>
      <w:r>
        <w:t xml:space="preserve">ackgrounds </w:t>
      </w:r>
    </w:p>
    <w:p w:rsidR="000E4683" w:rsidRDefault="00126C19">
      <w:pPr>
        <w:numPr>
          <w:ilvl w:val="0"/>
          <w:numId w:val="1"/>
        </w:numPr>
        <w:ind w:hanging="360"/>
      </w:pPr>
      <w:r>
        <w:t xml:space="preserve">Ability to work independently, taking initiative, managing time effectively and demonstrating attention to detail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sz w:val="20"/>
        </w:rPr>
        <w:t xml:space="preserve"> </w:t>
      </w:r>
      <w:r>
        <w:rPr>
          <w:sz w:val="20"/>
        </w:rPr>
        <w:tab/>
      </w:r>
      <w:r>
        <w:t xml:space="preserve">Ability to uphold library professional standards, the Library’s mission, the Library’s strategic plan and core values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sz w:val="20"/>
        </w:rPr>
        <w:t xml:space="preserve"> </w:t>
      </w:r>
      <w:r>
        <w:rPr>
          <w:sz w:val="20"/>
        </w:rPr>
        <w:tab/>
      </w:r>
      <w:r>
        <w:t>A vali</w:t>
      </w:r>
      <w:r>
        <w:t xml:space="preserve">d driver’s license with a clean driving record and able to drive company vehicle. </w:t>
      </w:r>
    </w:p>
    <w:p w:rsidR="000E4683" w:rsidRDefault="00126C19">
      <w:pPr>
        <w:spacing w:after="5" w:line="259" w:lineRule="auto"/>
        <w:ind w:left="360" w:firstLine="0"/>
      </w:pPr>
      <w:r>
        <w:rPr>
          <w:rFonts w:ascii="Times New Roman" w:eastAsia="Times New Roman" w:hAnsi="Times New Roman" w:cs="Times New Roman"/>
          <w:color w:val="222222"/>
          <w:sz w:val="20"/>
        </w:rPr>
        <w:lastRenderedPageBreak/>
        <w:t xml:space="preserve"> </w:t>
      </w:r>
    </w:p>
    <w:p w:rsidR="000E4683" w:rsidRDefault="00126C1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E5E5E5"/>
        <w:spacing w:after="84" w:line="259" w:lineRule="auto"/>
        <w:ind w:left="-5"/>
      </w:pPr>
      <w:r>
        <w:rPr>
          <w:b/>
        </w:rPr>
        <w:t xml:space="preserve">BENEFITS AND SALARY:    </w:t>
      </w:r>
    </w:p>
    <w:p w:rsidR="000E4683" w:rsidRDefault="00126C19">
      <w:pPr>
        <w:tabs>
          <w:tab w:val="center" w:pos="8641"/>
        </w:tabs>
        <w:ind w:left="0" w:firstLine="0"/>
      </w:pPr>
      <w:r>
        <w:t>$14.90 per hour, paid monthly.   Benefits include health, dental, vision &amp; life insurance; participation in PERS of Mississippi.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 </w:t>
      </w:r>
    </w:p>
    <w:p w:rsidR="000E4683" w:rsidRDefault="00126C19">
      <w:pPr>
        <w:spacing w:after="19" w:line="259" w:lineRule="auto"/>
        <w:ind w:left="0" w:firstLine="0"/>
      </w:pPr>
      <w:r>
        <w:t xml:space="preserve"> </w:t>
      </w:r>
    </w:p>
    <w:p w:rsidR="000E4683" w:rsidRDefault="00126C1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D9D9D9"/>
        <w:spacing w:after="16" w:line="259" w:lineRule="auto"/>
        <w:ind w:left="-5"/>
      </w:pPr>
      <w:r>
        <w:rPr>
          <w:b/>
        </w:rPr>
        <w:t xml:space="preserve">EDUCATION:                                                                                  </w:t>
      </w:r>
    </w:p>
    <w:p w:rsidR="000E4683" w:rsidRDefault="00126C19">
      <w:r>
        <w:t xml:space="preserve">Associate’s Degree required.  Experience with groups of children and/or coursework in early childhood education required.   </w:t>
      </w:r>
    </w:p>
    <w:p w:rsidR="000E4683" w:rsidRDefault="00126C19">
      <w:pPr>
        <w:spacing w:after="33" w:line="259" w:lineRule="auto"/>
        <w:ind w:left="0" w:firstLine="0"/>
      </w:pPr>
      <w:r>
        <w:t xml:space="preserve"> </w:t>
      </w:r>
    </w:p>
    <w:p w:rsidR="000E4683" w:rsidRDefault="00126C1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D9D9D9"/>
        <w:spacing w:after="34" w:line="241" w:lineRule="auto"/>
        <w:ind w:left="3584" w:right="3431" w:firstLine="0"/>
        <w:jc w:val="center"/>
      </w:pPr>
      <w:r>
        <w:rPr>
          <w:i/>
          <w:sz w:val="20"/>
        </w:rPr>
        <w:t>For more information apply online at</w:t>
      </w:r>
      <w:r>
        <w:rPr>
          <w:i/>
          <w:sz w:val="20"/>
        </w:rPr>
        <w:t xml:space="preserve"> firstregional.org   Email online application to</w:t>
      </w:r>
      <w:r>
        <w:rPr>
          <w:b/>
          <w:i/>
          <w:sz w:val="20"/>
        </w:rPr>
        <w:t>: jobs@firstregional.org</w:t>
      </w:r>
      <w:r>
        <w:rPr>
          <w:i/>
          <w:sz w:val="20"/>
        </w:rPr>
        <w:t xml:space="preserve"> </w:t>
      </w:r>
    </w:p>
    <w:p w:rsidR="000E4683" w:rsidRDefault="00126C19">
      <w:pPr>
        <w:spacing w:after="0" w:line="259" w:lineRule="auto"/>
        <w:ind w:left="0" w:firstLine="0"/>
      </w:pPr>
      <w:r>
        <w:rPr>
          <w:i/>
          <w:sz w:val="20"/>
        </w:rPr>
        <w:t xml:space="preserve">EOE minorities/female/disabled/veteran </w:t>
      </w:r>
    </w:p>
    <w:sectPr w:rsidR="000E4683">
      <w:pgSz w:w="12240" w:h="15840"/>
      <w:pgMar w:top="1440" w:right="446" w:bottom="1440" w:left="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548B1"/>
    <w:multiLevelType w:val="hybridMultilevel"/>
    <w:tmpl w:val="E9A2A65E"/>
    <w:lvl w:ilvl="0" w:tplc="D292C6E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10EE2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46BB1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6CB10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A6CC0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E68B4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DA4B4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B28C0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24CEF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683"/>
    <w:rsid w:val="000E4683"/>
    <w:rsid w:val="0012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C94FAC-0A39-4916-B4EE-57D99295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" w:line="249" w:lineRule="auto"/>
      <w:ind w:left="10" w:hanging="10"/>
    </w:pPr>
    <w:rPr>
      <w:rFonts w:ascii="Arial" w:eastAsia="Arial" w:hAnsi="Arial" w:cs="Arial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Posting Date:                           Removal date:, 1999</vt:lpstr>
    </vt:vector>
  </TitlesOfParts>
  <Company/>
  <LinksUpToDate>false</LinksUpToDate>
  <CharactersWithSpaces>4519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Posting Date:                           Removal date:, 1999</dc:title>
  <dc:subject/>
  <dc:creator>Dorothy Tarantino</dc:creator>
  <cp:keywords/>
  <cp:lastModifiedBy>humanresources</cp:lastModifiedBy>
  <cp:revision>2</cp:revision>
  <dcterms:created xsi:type="dcterms:W3CDTF">2025-04-01T17:12:00Z</dcterms:created>
  <dcterms:modified xsi:type="dcterms:W3CDTF">2025-04-01T17:12:00Z</dcterms:modified>
</cp:coreProperties>
</file>