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9BED9" w14:textId="77777777" w:rsidR="00EC67BB" w:rsidRPr="00857964" w:rsidRDefault="00EC67BB" w:rsidP="00EC67BB">
      <w:pPr>
        <w:pStyle w:val="Header"/>
        <w:jc w:val="center"/>
        <w:rPr>
          <w:rFonts w:ascii="Verdana" w:hAnsi="Verdana"/>
          <w:b/>
          <w:szCs w:val="28"/>
        </w:rPr>
      </w:pPr>
      <w:r w:rsidRPr="00857964">
        <w:rPr>
          <w:rFonts w:ascii="Verdana" w:hAnsi="Verdana"/>
          <w:b/>
          <w:szCs w:val="28"/>
        </w:rPr>
        <w:t>Maintenance of Eligibility—Director Qualifications</w:t>
      </w:r>
    </w:p>
    <w:p w14:paraId="229B83FE" w14:textId="77777777" w:rsidR="00EC67BB" w:rsidRPr="00857964" w:rsidRDefault="00EC67BB" w:rsidP="00EC67BB">
      <w:pPr>
        <w:pStyle w:val="Header"/>
        <w:jc w:val="center"/>
        <w:rPr>
          <w:rFonts w:ascii="Verdana" w:hAnsi="Verdana"/>
          <w:b/>
          <w:sz w:val="28"/>
          <w:szCs w:val="28"/>
        </w:rPr>
      </w:pPr>
      <w:r w:rsidRPr="00857964">
        <w:rPr>
          <w:rFonts w:ascii="Verdana" w:hAnsi="Verdana"/>
          <w:b/>
          <w:szCs w:val="28"/>
        </w:rPr>
        <w:t xml:space="preserve"> Small Library Exemption</w:t>
      </w:r>
    </w:p>
    <w:p w14:paraId="43237619" w14:textId="77777777" w:rsidR="00EC67BB" w:rsidRPr="00857964" w:rsidRDefault="00EC67BB" w:rsidP="00EC67BB">
      <w:pPr>
        <w:ind w:left="972" w:hanging="972"/>
        <w:rPr>
          <w:rFonts w:ascii="Verdana" w:hAnsi="Verdana"/>
        </w:rPr>
      </w:pPr>
    </w:p>
    <w:p w14:paraId="42767A38" w14:textId="77777777" w:rsidR="00EC67BB" w:rsidRPr="00857964" w:rsidRDefault="00EC67BB" w:rsidP="00EC67BB">
      <w:pPr>
        <w:ind w:left="972" w:hanging="972"/>
        <w:jc w:val="both"/>
        <w:rPr>
          <w:rFonts w:ascii="Verdana" w:hAnsi="Verdana"/>
          <w:b/>
          <w:sz w:val="20"/>
          <w:szCs w:val="20"/>
          <w:u w:val="single"/>
        </w:rPr>
      </w:pPr>
      <w:r w:rsidRPr="00857964">
        <w:rPr>
          <w:rFonts w:ascii="Verdana" w:hAnsi="Verdana"/>
          <w:b/>
          <w:sz w:val="20"/>
          <w:szCs w:val="20"/>
          <w:u w:val="single"/>
        </w:rPr>
        <w:t>Introduction</w:t>
      </w:r>
    </w:p>
    <w:p w14:paraId="563B87B7" w14:textId="77777777" w:rsidR="00EC67BB" w:rsidRPr="00857964" w:rsidRDefault="00EC67BB" w:rsidP="00EC67BB">
      <w:pPr>
        <w:ind w:firstLine="18"/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 xml:space="preserve">The Library Commission understands the complexities involved in seeking and employing a director who meets local needs and has the appropriate academic credentials. The agency also understands that Personnel Grant funds represent a significant source of salary funding for many public library systems, especially those with a service population under 15,000. If the administrative board of a library system with a service population of or less than 15,000 chooses, they may employ a library director with a bachelor’s degree who agrees to a series of educational opportunities in lieu of a library director with a </w:t>
      </w:r>
      <w:proofErr w:type="gramStart"/>
      <w:r w:rsidRPr="00857964">
        <w:rPr>
          <w:rFonts w:ascii="Verdana" w:hAnsi="Verdana"/>
          <w:sz w:val="20"/>
          <w:szCs w:val="20"/>
        </w:rPr>
        <w:t>Master’s</w:t>
      </w:r>
      <w:proofErr w:type="gramEnd"/>
      <w:r w:rsidRPr="00857964">
        <w:rPr>
          <w:rFonts w:ascii="Verdana" w:hAnsi="Verdana"/>
          <w:sz w:val="20"/>
          <w:szCs w:val="20"/>
        </w:rPr>
        <w:t xml:space="preserve"> degree in library science (MLS). </w:t>
      </w:r>
    </w:p>
    <w:p w14:paraId="44D25B5C" w14:textId="77777777" w:rsidR="00EC67BB" w:rsidRPr="00857964" w:rsidRDefault="00EC67BB" w:rsidP="00EC67BB">
      <w:pPr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 xml:space="preserve">While there is a waiver process intended to assist in hiring a director with an MLS, small systems with lower service populations are frequently finding it difficult to permanently fill director positions with the MLS requirement. </w:t>
      </w:r>
      <w:r>
        <w:rPr>
          <w:rFonts w:ascii="Verdana" w:hAnsi="Verdana"/>
          <w:sz w:val="20"/>
          <w:szCs w:val="20"/>
        </w:rPr>
        <w:t>On July 1, 2017, t</w:t>
      </w:r>
      <w:r w:rsidRPr="00857964">
        <w:rPr>
          <w:rFonts w:ascii="Verdana" w:hAnsi="Verdana"/>
          <w:sz w:val="20"/>
          <w:szCs w:val="20"/>
        </w:rPr>
        <w:t>o offset this issue, MLC implemented the Small Library Exemption</w:t>
      </w:r>
      <w:r>
        <w:rPr>
          <w:rFonts w:ascii="Verdana" w:hAnsi="Verdana"/>
          <w:sz w:val="20"/>
          <w:szCs w:val="20"/>
        </w:rPr>
        <w:t xml:space="preserve">, </w:t>
      </w:r>
      <w:r w:rsidRPr="00857964">
        <w:rPr>
          <w:rFonts w:ascii="Verdana" w:hAnsi="Verdana"/>
          <w:sz w:val="20"/>
          <w:szCs w:val="20"/>
        </w:rPr>
        <w:t>an alternative educational requirement in the Accreditation Program Service Measures</w:t>
      </w:r>
      <w:r>
        <w:rPr>
          <w:rFonts w:ascii="Verdana" w:hAnsi="Verdana"/>
          <w:sz w:val="20"/>
          <w:szCs w:val="20"/>
        </w:rPr>
        <w:t>:</w:t>
      </w:r>
    </w:p>
    <w:p w14:paraId="5507B721" w14:textId="77777777" w:rsidR="00EC67BB" w:rsidRPr="00857964" w:rsidRDefault="00EC67BB" w:rsidP="00EC67BB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857964">
        <w:rPr>
          <w:rFonts w:ascii="Verdana" w:hAnsi="Verdana"/>
          <w:i/>
          <w:sz w:val="20"/>
          <w:szCs w:val="20"/>
        </w:rPr>
        <w:t xml:space="preserve">18.  S1b.  A library system, whose service area population is 15,000 or </w:t>
      </w:r>
      <w:r w:rsidRPr="00857964">
        <w:rPr>
          <w:rFonts w:ascii="Verdana" w:hAnsi="Verdana"/>
          <w:bCs/>
          <w:i/>
          <w:sz w:val="20"/>
          <w:szCs w:val="20"/>
        </w:rPr>
        <w:t>less</w:t>
      </w:r>
      <w:r w:rsidRPr="00857964">
        <w:rPr>
          <w:rFonts w:ascii="Verdana" w:hAnsi="Verdana"/>
          <w:i/>
          <w:sz w:val="20"/>
          <w:szCs w:val="20"/>
        </w:rPr>
        <w:t>, may employ a permanent, paid, full-time director who has a bachelor’s degree, and who agrees to complete three specific master’s level classes (at least one per year for three years) from a school accredited by the American Library Association; attend specific continuing education workshops, annually, as offered by MLC; and submit Annual Reports, completed by the Chair of the Administrative Board of Trustees.</w:t>
      </w:r>
    </w:p>
    <w:p w14:paraId="24095D9C" w14:textId="77777777" w:rsidR="00EC67BB" w:rsidRPr="00857964" w:rsidRDefault="00EC67BB" w:rsidP="00EC67BB">
      <w:pPr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>It is the responsibility of the local administrative library board to ensure compliance with the requirements of this measure.</w:t>
      </w:r>
    </w:p>
    <w:p w14:paraId="1658DD60" w14:textId="77777777" w:rsidR="00EC67BB" w:rsidRPr="00857964" w:rsidRDefault="00EC67BB" w:rsidP="00EC67BB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57964">
        <w:rPr>
          <w:rFonts w:ascii="Verdana" w:hAnsi="Verdana"/>
          <w:b/>
          <w:sz w:val="20"/>
          <w:szCs w:val="20"/>
          <w:u w:val="single"/>
        </w:rPr>
        <w:t>Requirements</w:t>
      </w:r>
    </w:p>
    <w:p w14:paraId="6A316C16" w14:textId="77777777" w:rsidR="00EC67BB" w:rsidRPr="00857964" w:rsidRDefault="00EC67BB" w:rsidP="00EC67B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>The director must have a bachelor’s degree.</w:t>
      </w:r>
    </w:p>
    <w:p w14:paraId="050C7B63" w14:textId="77777777" w:rsidR="00EC67BB" w:rsidRPr="00857964" w:rsidRDefault="00EC67BB" w:rsidP="00EC67BB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4AE62DF3" w14:textId="77777777" w:rsidR="00EC67BB" w:rsidRPr="00857964" w:rsidRDefault="00EC67BB" w:rsidP="00EC67B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 xml:space="preserve">The director must enroll in an ALA-accredited </w:t>
      </w:r>
      <w:proofErr w:type="gramStart"/>
      <w:r w:rsidRPr="00857964">
        <w:rPr>
          <w:rFonts w:ascii="Verdana" w:hAnsi="Verdana"/>
          <w:sz w:val="20"/>
          <w:szCs w:val="20"/>
        </w:rPr>
        <w:t>Master’s</w:t>
      </w:r>
      <w:proofErr w:type="gramEnd"/>
      <w:r w:rsidRPr="00857964">
        <w:rPr>
          <w:rFonts w:ascii="Verdana" w:hAnsi="Verdana"/>
          <w:sz w:val="20"/>
          <w:szCs w:val="20"/>
        </w:rPr>
        <w:t xml:space="preserve"> level library science program as a non-degree seeking student (the director may enroll as a degree seeking student if he or she wishes). While not required, the University of Southern Mississippi is recommended. Other ALA-accredited programs may be approved upon request, such as The University of Alabama, Louisiana State University, or the University of Tennessee. More information on USM’s program can be found here: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https://www.usm.edu/library-information-science/graduate-nondegree-admissions</w:t>
        </w:r>
      </w:hyperlink>
    </w:p>
    <w:p w14:paraId="7B7DAAD3" w14:textId="77777777" w:rsidR="00EC67BB" w:rsidRPr="00857964" w:rsidRDefault="00EC67BB" w:rsidP="00EC67BB">
      <w:pPr>
        <w:ind w:left="1170" w:hanging="450"/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 xml:space="preserve">2a. The director must take and pass three classes in that ALA-accredited library science </w:t>
      </w:r>
      <w:r>
        <w:rPr>
          <w:rFonts w:ascii="Verdana" w:hAnsi="Verdana"/>
          <w:sz w:val="20"/>
          <w:szCs w:val="20"/>
        </w:rPr>
        <w:t xml:space="preserve">                                          </w:t>
      </w:r>
      <w:r w:rsidRPr="00857964">
        <w:rPr>
          <w:rFonts w:ascii="Verdana" w:hAnsi="Verdana"/>
          <w:sz w:val="20"/>
          <w:szCs w:val="20"/>
        </w:rPr>
        <w:t xml:space="preserve">program within a three-year period (at least one class per year). Specific classes taken will be approved by the </w:t>
      </w:r>
      <w:r>
        <w:rPr>
          <w:rFonts w:ascii="Verdana" w:hAnsi="Verdana"/>
          <w:sz w:val="20"/>
          <w:szCs w:val="20"/>
        </w:rPr>
        <w:t>Library Services Director</w:t>
      </w:r>
      <w:r w:rsidRPr="00857964">
        <w:rPr>
          <w:rFonts w:ascii="Verdana" w:hAnsi="Verdana"/>
          <w:sz w:val="20"/>
          <w:szCs w:val="20"/>
        </w:rPr>
        <w:t xml:space="preserve"> at MLC. Requests for course consideration must be submitted in writing to the </w:t>
      </w:r>
      <w:r>
        <w:rPr>
          <w:rFonts w:ascii="Verdana" w:hAnsi="Verdana"/>
          <w:sz w:val="20"/>
          <w:szCs w:val="20"/>
        </w:rPr>
        <w:t>Library Services Director</w:t>
      </w:r>
      <w:r w:rsidRPr="00857964">
        <w:rPr>
          <w:rFonts w:ascii="Verdana" w:hAnsi="Verdana"/>
          <w:sz w:val="20"/>
          <w:szCs w:val="20"/>
        </w:rPr>
        <w:t>.</w:t>
      </w:r>
    </w:p>
    <w:p w14:paraId="1F0F61E8" w14:textId="77777777" w:rsidR="00EC67BB" w:rsidRPr="00857964" w:rsidRDefault="00EC67BB" w:rsidP="00EC67BB">
      <w:pPr>
        <w:pStyle w:val="ListParagraph"/>
        <w:ind w:left="450" w:firstLine="270"/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>2b. MLC will provide support for textbooks for these classes.</w:t>
      </w:r>
    </w:p>
    <w:p w14:paraId="2C2BC17F" w14:textId="77777777" w:rsidR="00EC67BB" w:rsidRPr="00857964" w:rsidRDefault="00EC67BB" w:rsidP="00EC67BB">
      <w:pPr>
        <w:pStyle w:val="ListParagraph"/>
        <w:ind w:left="450"/>
        <w:jc w:val="both"/>
        <w:rPr>
          <w:rFonts w:ascii="Verdana" w:hAnsi="Verdana"/>
          <w:color w:val="FF0000"/>
          <w:sz w:val="20"/>
          <w:szCs w:val="20"/>
        </w:rPr>
      </w:pPr>
    </w:p>
    <w:p w14:paraId="25AAF22A" w14:textId="77777777" w:rsidR="00EC67BB" w:rsidRPr="00857964" w:rsidRDefault="00EC67BB" w:rsidP="00EC67BB">
      <w:pPr>
        <w:pStyle w:val="ListParagraph"/>
        <w:ind w:left="450"/>
        <w:jc w:val="both"/>
        <w:rPr>
          <w:rFonts w:ascii="Verdana" w:hAnsi="Verdana"/>
          <w:sz w:val="20"/>
          <w:szCs w:val="20"/>
        </w:rPr>
      </w:pPr>
    </w:p>
    <w:p w14:paraId="2A19049C" w14:textId="77777777" w:rsidR="00EC67BB" w:rsidRPr="00857964" w:rsidRDefault="00EC67BB" w:rsidP="00EC67B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lastRenderedPageBreak/>
        <w:t xml:space="preserve">The director must develop an annual training plan with the </w:t>
      </w:r>
      <w:r>
        <w:rPr>
          <w:rFonts w:ascii="Verdana" w:hAnsi="Verdana"/>
          <w:sz w:val="20"/>
          <w:szCs w:val="20"/>
        </w:rPr>
        <w:t>Library Services Director</w:t>
      </w:r>
      <w:r w:rsidRPr="00857964">
        <w:rPr>
          <w:rFonts w:ascii="Verdana" w:hAnsi="Verdana"/>
          <w:sz w:val="20"/>
          <w:szCs w:val="20"/>
        </w:rPr>
        <w:t xml:space="preserve"> and annually attend at least 15 hours of continuing education provided by MLC. The training plan will take into consideration attendance at the following programs:</w:t>
      </w:r>
    </w:p>
    <w:p w14:paraId="1CD295DD" w14:textId="77777777" w:rsidR="00EC67BB" w:rsidRPr="00857964" w:rsidRDefault="00EC67BB" w:rsidP="00EC67BB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>E-Rate Training</w:t>
      </w:r>
    </w:p>
    <w:p w14:paraId="55CBF3CF" w14:textId="77777777" w:rsidR="00EC67BB" w:rsidRPr="00857964" w:rsidRDefault="00EC67BB" w:rsidP="00EC67BB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 xml:space="preserve">LSTA Workshop </w:t>
      </w:r>
    </w:p>
    <w:p w14:paraId="0C5532B4" w14:textId="77777777" w:rsidR="00EC67BB" w:rsidRPr="00857964" w:rsidRDefault="00EC67BB" w:rsidP="00EC67BB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>Statistics</w:t>
      </w:r>
    </w:p>
    <w:p w14:paraId="3B86E973" w14:textId="77777777" w:rsidR="00EC67BB" w:rsidRPr="00857964" w:rsidRDefault="00EC67BB" w:rsidP="00EC67BB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>Librarianship 101</w:t>
      </w:r>
    </w:p>
    <w:p w14:paraId="41B6B43F" w14:textId="77777777" w:rsidR="00EC67BB" w:rsidRPr="00857964" w:rsidRDefault="00EC67BB" w:rsidP="00EC67BB">
      <w:pPr>
        <w:ind w:firstLine="450"/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>Approval for changes in the training plan will be sought prior to action being taken.</w:t>
      </w:r>
    </w:p>
    <w:p w14:paraId="192DBC11" w14:textId="77777777" w:rsidR="00EC67BB" w:rsidRPr="00857964" w:rsidRDefault="00EC67BB" w:rsidP="00EC67B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>The director must attend at least one directors’ meeting per year.</w:t>
      </w:r>
    </w:p>
    <w:p w14:paraId="0A94903A" w14:textId="77777777" w:rsidR="00EC67BB" w:rsidRPr="00857964" w:rsidRDefault="00EC67BB" w:rsidP="00EC67BB">
      <w:pPr>
        <w:pStyle w:val="ListParagraph"/>
        <w:ind w:left="450"/>
        <w:jc w:val="both"/>
        <w:rPr>
          <w:rFonts w:ascii="Verdana" w:hAnsi="Verdana"/>
          <w:sz w:val="20"/>
          <w:szCs w:val="20"/>
        </w:rPr>
      </w:pPr>
    </w:p>
    <w:p w14:paraId="006DAF75" w14:textId="77777777" w:rsidR="00EC67BB" w:rsidRPr="00857964" w:rsidRDefault="00EC67BB" w:rsidP="00EC67B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>The Chair of the Administrative Board of Trustees must submit an annual report each year.</w:t>
      </w:r>
    </w:p>
    <w:p w14:paraId="0AF0B954" w14:textId="77777777" w:rsidR="00EC67BB" w:rsidRPr="00857964" w:rsidRDefault="00EC67BB" w:rsidP="00EC67BB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50028A3B" w14:textId="77777777" w:rsidR="00EC67BB" w:rsidRPr="00857964" w:rsidRDefault="00EC67BB" w:rsidP="00EC67BB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57964">
        <w:rPr>
          <w:rFonts w:ascii="Verdana" w:hAnsi="Verdana"/>
          <w:b/>
          <w:sz w:val="20"/>
          <w:szCs w:val="20"/>
          <w:u w:val="single"/>
        </w:rPr>
        <w:t>Implementation</w:t>
      </w:r>
    </w:p>
    <w:p w14:paraId="0C7DE00D" w14:textId="29A0C4D6" w:rsidR="00EC67BB" w:rsidRDefault="00EC67BB" w:rsidP="00EC67B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Library </w:t>
      </w:r>
      <w:r w:rsidRPr="00857964">
        <w:rPr>
          <w:rFonts w:ascii="Verdana" w:hAnsi="Verdana"/>
          <w:sz w:val="20"/>
          <w:szCs w:val="20"/>
        </w:rPr>
        <w:t xml:space="preserve">Administrative Board of Trustees </w:t>
      </w:r>
      <w:r>
        <w:rPr>
          <w:rFonts w:ascii="Verdana" w:hAnsi="Verdana"/>
          <w:sz w:val="20"/>
          <w:szCs w:val="20"/>
        </w:rPr>
        <w:t xml:space="preserve">contacts MLC and </w:t>
      </w:r>
      <w:r w:rsidRPr="00857964">
        <w:rPr>
          <w:rFonts w:ascii="Verdana" w:hAnsi="Verdana"/>
          <w:sz w:val="20"/>
          <w:szCs w:val="20"/>
        </w:rPr>
        <w:t xml:space="preserve">indicates they want </w:t>
      </w:r>
      <w:r>
        <w:rPr>
          <w:rFonts w:ascii="Verdana" w:hAnsi="Verdana"/>
          <w:sz w:val="20"/>
          <w:szCs w:val="20"/>
        </w:rPr>
        <w:t>to request the</w:t>
      </w:r>
      <w:r w:rsidRPr="00857964">
        <w:rPr>
          <w:rFonts w:ascii="Verdana" w:hAnsi="Verdana"/>
          <w:sz w:val="20"/>
          <w:szCs w:val="20"/>
        </w:rPr>
        <w:t xml:space="preserve"> Small Library Exemption</w:t>
      </w:r>
      <w:r>
        <w:rPr>
          <w:rFonts w:ascii="Verdana" w:hAnsi="Verdana"/>
          <w:sz w:val="20"/>
          <w:szCs w:val="20"/>
        </w:rPr>
        <w:t>, at which time a</w:t>
      </w:r>
      <w:bookmarkStart w:id="0" w:name="_GoBack"/>
      <w:bookmarkEnd w:id="0"/>
      <w:r>
        <w:rPr>
          <w:rFonts w:ascii="Verdana" w:hAnsi="Verdana"/>
          <w:sz w:val="20"/>
          <w:szCs w:val="20"/>
        </w:rPr>
        <w:t>n Agreement will be sent to the Library Administrative Board of Trustees for signatures and to be returned to MLC.</w:t>
      </w:r>
    </w:p>
    <w:p w14:paraId="54091003" w14:textId="77777777" w:rsidR="00EC67BB" w:rsidRDefault="00EC67BB" w:rsidP="00EC67BB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14:paraId="7AB83341" w14:textId="77777777" w:rsidR="00EC67BB" w:rsidRDefault="00EC67BB" w:rsidP="00EC67B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 and submit the </w:t>
      </w:r>
      <w:r w:rsidRPr="0009472D">
        <w:rPr>
          <w:rFonts w:ascii="Verdana" w:hAnsi="Verdana"/>
          <w:i/>
          <w:sz w:val="20"/>
          <w:szCs w:val="20"/>
        </w:rPr>
        <w:t>Maintenance of Eligibility – Small Library Exemption</w:t>
      </w:r>
      <w:r>
        <w:rPr>
          <w:rFonts w:ascii="Verdana" w:hAnsi="Verdana"/>
          <w:sz w:val="20"/>
          <w:szCs w:val="20"/>
        </w:rPr>
        <w:t xml:space="preserve"> form.</w:t>
      </w:r>
    </w:p>
    <w:p w14:paraId="07934199" w14:textId="77777777" w:rsidR="00EC67BB" w:rsidRPr="003C73DE" w:rsidRDefault="00EC67BB" w:rsidP="00EC67BB">
      <w:pPr>
        <w:pStyle w:val="ListParagraph"/>
        <w:rPr>
          <w:rFonts w:ascii="Verdana" w:hAnsi="Verdana"/>
          <w:sz w:val="20"/>
          <w:szCs w:val="20"/>
        </w:rPr>
      </w:pPr>
    </w:p>
    <w:p w14:paraId="37483D29" w14:textId="77777777" w:rsidR="00EC67BB" w:rsidRDefault="00EC67BB" w:rsidP="00EC67B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Request an official college/university transcript be sent directly to MLC.</w:t>
      </w:r>
    </w:p>
    <w:p w14:paraId="695F18AC" w14:textId="77777777" w:rsidR="00EC67BB" w:rsidRPr="00857964" w:rsidRDefault="00EC67BB" w:rsidP="00EC67BB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14:paraId="004262F8" w14:textId="77777777" w:rsidR="00EC67BB" w:rsidRPr="00857964" w:rsidRDefault="00EC67BB" w:rsidP="00EC67B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 xml:space="preserve">Incoming library director </w:t>
      </w:r>
      <w:r>
        <w:rPr>
          <w:rFonts w:ascii="Verdana" w:hAnsi="Verdana"/>
          <w:sz w:val="20"/>
          <w:szCs w:val="20"/>
        </w:rPr>
        <w:t>must contact</w:t>
      </w:r>
      <w:r w:rsidRPr="008579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MLC’s </w:t>
      </w:r>
      <w:r w:rsidRPr="00857964">
        <w:rPr>
          <w:rFonts w:ascii="Verdana" w:hAnsi="Verdana"/>
          <w:sz w:val="20"/>
          <w:szCs w:val="20"/>
        </w:rPr>
        <w:t xml:space="preserve">Library </w:t>
      </w:r>
      <w:r>
        <w:rPr>
          <w:rFonts w:ascii="Verdana" w:hAnsi="Verdana"/>
          <w:sz w:val="20"/>
          <w:szCs w:val="20"/>
        </w:rPr>
        <w:t>Services</w:t>
      </w:r>
      <w:r w:rsidRPr="00857964">
        <w:rPr>
          <w:rFonts w:ascii="Verdana" w:hAnsi="Verdana"/>
          <w:sz w:val="20"/>
          <w:szCs w:val="20"/>
        </w:rPr>
        <w:t xml:space="preserve"> Director to create </w:t>
      </w:r>
      <w:r>
        <w:rPr>
          <w:rFonts w:ascii="Verdana" w:hAnsi="Verdana"/>
          <w:sz w:val="20"/>
          <w:szCs w:val="20"/>
        </w:rPr>
        <w:t xml:space="preserve">the required annual </w:t>
      </w:r>
      <w:r w:rsidRPr="00857964">
        <w:rPr>
          <w:rFonts w:ascii="Verdana" w:hAnsi="Verdana"/>
          <w:sz w:val="20"/>
          <w:szCs w:val="20"/>
        </w:rPr>
        <w:t>training plan</w:t>
      </w:r>
      <w:r>
        <w:rPr>
          <w:rFonts w:ascii="Verdana" w:hAnsi="Verdana"/>
          <w:sz w:val="20"/>
          <w:szCs w:val="20"/>
        </w:rPr>
        <w:t>.</w:t>
      </w:r>
    </w:p>
    <w:p w14:paraId="0DDB6777" w14:textId="77777777" w:rsidR="00EC67BB" w:rsidRDefault="00EC67BB" w:rsidP="00EC67BB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14:paraId="351CE985" w14:textId="77777777" w:rsidR="00EC67BB" w:rsidRPr="003C73DE" w:rsidRDefault="00EC67BB" w:rsidP="00EC67B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57964">
        <w:rPr>
          <w:rFonts w:ascii="Verdana" w:hAnsi="Verdana"/>
          <w:sz w:val="20"/>
          <w:szCs w:val="20"/>
        </w:rPr>
        <w:t xml:space="preserve">Annual training plan is drafted, signed by library director and board chair, and submitted to Library </w:t>
      </w:r>
      <w:r>
        <w:rPr>
          <w:rFonts w:ascii="Verdana" w:hAnsi="Verdana"/>
          <w:sz w:val="20"/>
          <w:szCs w:val="20"/>
        </w:rPr>
        <w:t>Services</w:t>
      </w:r>
      <w:r w:rsidRPr="00857964">
        <w:rPr>
          <w:rFonts w:ascii="Verdana" w:hAnsi="Verdana"/>
          <w:sz w:val="20"/>
          <w:szCs w:val="20"/>
        </w:rPr>
        <w:t xml:space="preserve"> Director within 30 days of hire. As CE events are attended, library director submits proof of attendance</w:t>
      </w:r>
      <w:r>
        <w:rPr>
          <w:rFonts w:ascii="Verdana" w:hAnsi="Verdana"/>
          <w:sz w:val="20"/>
          <w:szCs w:val="20"/>
        </w:rPr>
        <w:t>.</w:t>
      </w:r>
    </w:p>
    <w:p w14:paraId="31375862" w14:textId="77777777" w:rsidR="00EC67BB" w:rsidRDefault="00EC67BB" w:rsidP="00EC67BB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14:paraId="33467514" w14:textId="77777777" w:rsidR="00EC67BB" w:rsidRPr="00857964" w:rsidRDefault="00EC67BB" w:rsidP="00EC67B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Letter of Acceptance into a Library Science Program</w:t>
      </w:r>
      <w:r w:rsidRPr="00857964">
        <w:rPr>
          <w:rFonts w:ascii="Verdana" w:hAnsi="Verdana"/>
          <w:sz w:val="20"/>
          <w:szCs w:val="20"/>
        </w:rPr>
        <w:t xml:space="preserve"> is required</w:t>
      </w:r>
      <w:r>
        <w:rPr>
          <w:rFonts w:ascii="Verdana" w:hAnsi="Verdana"/>
          <w:sz w:val="20"/>
          <w:szCs w:val="20"/>
        </w:rPr>
        <w:t xml:space="preserve"> and must be submitted to the </w:t>
      </w:r>
      <w:r w:rsidRPr="00857964">
        <w:rPr>
          <w:rFonts w:ascii="Verdana" w:hAnsi="Verdana"/>
          <w:sz w:val="20"/>
          <w:szCs w:val="20"/>
        </w:rPr>
        <w:t xml:space="preserve">Library </w:t>
      </w:r>
      <w:r>
        <w:rPr>
          <w:rFonts w:ascii="Verdana" w:hAnsi="Verdana"/>
          <w:sz w:val="20"/>
          <w:szCs w:val="20"/>
        </w:rPr>
        <w:t>Services</w:t>
      </w:r>
      <w:r w:rsidRPr="00857964">
        <w:rPr>
          <w:rFonts w:ascii="Verdana" w:hAnsi="Verdana"/>
          <w:sz w:val="20"/>
          <w:szCs w:val="20"/>
        </w:rPr>
        <w:t xml:space="preserve"> Director within 6 months of hire</w:t>
      </w:r>
      <w:r>
        <w:rPr>
          <w:rFonts w:ascii="Verdana" w:hAnsi="Verdana"/>
          <w:sz w:val="20"/>
          <w:szCs w:val="20"/>
        </w:rPr>
        <w:t>.</w:t>
      </w:r>
    </w:p>
    <w:p w14:paraId="31065310" w14:textId="77777777" w:rsidR="00EC67BB" w:rsidRDefault="00EC67BB" w:rsidP="00EC67BB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14:paraId="5AAD5BA3" w14:textId="77777777" w:rsidR="00EC67BB" w:rsidRPr="00634A10" w:rsidRDefault="00EC67BB" w:rsidP="00EC67B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34A10">
        <w:rPr>
          <w:rFonts w:ascii="Verdana" w:hAnsi="Verdana"/>
          <w:sz w:val="20"/>
          <w:szCs w:val="20"/>
        </w:rPr>
        <w:t>Class schedule</w:t>
      </w:r>
      <w:r>
        <w:rPr>
          <w:rFonts w:ascii="Verdana" w:hAnsi="Verdana"/>
          <w:sz w:val="20"/>
          <w:szCs w:val="20"/>
        </w:rPr>
        <w:t>s</w:t>
      </w:r>
      <w:r w:rsidRPr="00634A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must be </w:t>
      </w:r>
      <w:r w:rsidRPr="00634A10">
        <w:rPr>
          <w:rFonts w:ascii="Verdana" w:hAnsi="Verdana"/>
          <w:sz w:val="20"/>
          <w:szCs w:val="20"/>
        </w:rPr>
        <w:t xml:space="preserve">agreed upon by library director and Library </w:t>
      </w:r>
      <w:r>
        <w:rPr>
          <w:rFonts w:ascii="Verdana" w:hAnsi="Verdana"/>
          <w:sz w:val="20"/>
          <w:szCs w:val="20"/>
        </w:rPr>
        <w:t>Services</w:t>
      </w:r>
      <w:r w:rsidRPr="00634A10">
        <w:rPr>
          <w:rFonts w:ascii="Verdana" w:hAnsi="Verdana"/>
          <w:sz w:val="20"/>
          <w:szCs w:val="20"/>
        </w:rPr>
        <w:t xml:space="preserve"> Director</w:t>
      </w:r>
      <w:r>
        <w:rPr>
          <w:rFonts w:ascii="Verdana" w:hAnsi="Verdana"/>
          <w:sz w:val="20"/>
          <w:szCs w:val="20"/>
        </w:rPr>
        <w:t>.</w:t>
      </w:r>
    </w:p>
    <w:p w14:paraId="47A1595A" w14:textId="77777777" w:rsidR="00EC67BB" w:rsidRDefault="00EC67BB" w:rsidP="00EC67BB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14:paraId="13EDA312" w14:textId="77777777" w:rsidR="00EC67BB" w:rsidRPr="00634A10" w:rsidRDefault="00EC67BB" w:rsidP="00EC67B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Library director must request transcripts be sent directly to the </w:t>
      </w:r>
      <w:r w:rsidRPr="00634A10">
        <w:rPr>
          <w:rFonts w:ascii="Verdana" w:hAnsi="Verdana"/>
          <w:sz w:val="20"/>
          <w:szCs w:val="20"/>
        </w:rPr>
        <w:t xml:space="preserve">Library </w:t>
      </w:r>
      <w:r>
        <w:rPr>
          <w:rFonts w:ascii="Verdana" w:hAnsi="Verdana"/>
          <w:sz w:val="20"/>
          <w:szCs w:val="20"/>
        </w:rPr>
        <w:t>Services</w:t>
      </w:r>
      <w:r w:rsidRPr="00634A10">
        <w:rPr>
          <w:rFonts w:ascii="Verdana" w:hAnsi="Verdana"/>
          <w:sz w:val="20"/>
          <w:szCs w:val="20"/>
        </w:rPr>
        <w:t xml:space="preserve"> Director at the end of each semester a class is taken</w:t>
      </w:r>
      <w:r>
        <w:rPr>
          <w:rFonts w:ascii="Verdana" w:hAnsi="Verdana"/>
          <w:sz w:val="20"/>
          <w:szCs w:val="20"/>
        </w:rPr>
        <w:t>.</w:t>
      </w:r>
    </w:p>
    <w:p w14:paraId="1E95A70F" w14:textId="77777777" w:rsidR="00EC67BB" w:rsidRPr="00634A10" w:rsidRDefault="00EC67BB" w:rsidP="00EC67BB">
      <w:pPr>
        <w:pStyle w:val="ListParagraph"/>
        <w:ind w:left="360"/>
        <w:jc w:val="both"/>
        <w:rPr>
          <w:sz w:val="20"/>
          <w:szCs w:val="20"/>
        </w:rPr>
      </w:pPr>
    </w:p>
    <w:p w14:paraId="6E36A2CB" w14:textId="77777777" w:rsidR="00EC67BB" w:rsidRPr="00830E8A" w:rsidRDefault="00EC67BB" w:rsidP="00EC67B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634A10">
        <w:rPr>
          <w:rFonts w:ascii="Verdana" w:hAnsi="Verdana"/>
          <w:sz w:val="20"/>
          <w:szCs w:val="20"/>
        </w:rPr>
        <w:t>Annual report</w:t>
      </w:r>
      <w:r>
        <w:rPr>
          <w:rFonts w:ascii="Verdana" w:hAnsi="Verdana"/>
          <w:sz w:val="20"/>
          <w:szCs w:val="20"/>
        </w:rPr>
        <w:t>s</w:t>
      </w:r>
      <w:r w:rsidRPr="00634A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must be</w:t>
      </w:r>
      <w:r w:rsidRPr="00634A10">
        <w:rPr>
          <w:rFonts w:ascii="Verdana" w:hAnsi="Verdana"/>
          <w:sz w:val="20"/>
          <w:szCs w:val="20"/>
        </w:rPr>
        <w:t xml:space="preserve"> submitted to Library </w:t>
      </w:r>
      <w:r>
        <w:rPr>
          <w:rFonts w:ascii="Verdana" w:hAnsi="Verdana"/>
          <w:sz w:val="20"/>
          <w:szCs w:val="20"/>
        </w:rPr>
        <w:t>Services</w:t>
      </w:r>
      <w:r w:rsidRPr="00634A10">
        <w:rPr>
          <w:rFonts w:ascii="Verdana" w:hAnsi="Verdana"/>
          <w:sz w:val="20"/>
          <w:szCs w:val="20"/>
        </w:rPr>
        <w:t xml:space="preserve"> Director by Chair of the Administrative Board of Trustees</w:t>
      </w:r>
      <w:r>
        <w:rPr>
          <w:rFonts w:ascii="Verdana" w:hAnsi="Verdana"/>
          <w:sz w:val="20"/>
          <w:szCs w:val="20"/>
        </w:rPr>
        <w:t xml:space="preserve"> while the library system is under the Small Library Exemption.</w:t>
      </w:r>
    </w:p>
    <w:p w14:paraId="4110365D" w14:textId="77777777" w:rsidR="00EC67BB" w:rsidRPr="00830E8A" w:rsidRDefault="00EC67BB" w:rsidP="00EC67BB">
      <w:pPr>
        <w:pStyle w:val="ListParagraph"/>
        <w:rPr>
          <w:sz w:val="20"/>
          <w:szCs w:val="20"/>
        </w:rPr>
      </w:pPr>
    </w:p>
    <w:p w14:paraId="3622D997" w14:textId="77777777" w:rsidR="00EB1566" w:rsidRDefault="00EB1566"/>
    <w:sectPr w:rsidR="00EB15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9B648" w14:textId="77777777" w:rsidR="00356D18" w:rsidRPr="00857964" w:rsidRDefault="00EC67BB" w:rsidP="00C72595">
    <w:pPr>
      <w:pStyle w:val="Header"/>
      <w:jc w:val="center"/>
      <w:rPr>
        <w:rFonts w:ascii="Verdana" w:hAnsi="Verdana"/>
        <w:b/>
        <w:sz w:val="20"/>
        <w:szCs w:val="20"/>
      </w:rPr>
    </w:pPr>
    <w:r w:rsidRPr="00857964">
      <w:rPr>
        <w:rFonts w:ascii="Verdana" w:hAnsi="Verdana"/>
        <w:b/>
        <w:sz w:val="20"/>
        <w:szCs w:val="20"/>
      </w:rPr>
      <w:t>Mississippi Library Commission</w:t>
    </w:r>
  </w:p>
  <w:p w14:paraId="1DB2B110" w14:textId="77777777" w:rsidR="00C72595" w:rsidRPr="00C72595" w:rsidRDefault="00EC67BB" w:rsidP="00C72595">
    <w:pPr>
      <w:pStyle w:val="Header"/>
      <w:jc w:val="center"/>
      <w:rPr>
        <w:b/>
      </w:rPr>
    </w:pPr>
    <w:r w:rsidRPr="00857964">
      <w:rPr>
        <w:rFonts w:ascii="Verdana" w:hAnsi="Verdana"/>
        <w:b/>
        <w:sz w:val="20"/>
        <w:szCs w:val="20"/>
      </w:rPr>
      <w:t>Personnel Incentive Grant Program</w:t>
    </w:r>
  </w:p>
  <w:p w14:paraId="6B3F8289" w14:textId="77777777" w:rsidR="00C72595" w:rsidRPr="004C2B1F" w:rsidRDefault="00EC67BB" w:rsidP="00C72595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E77"/>
    <w:multiLevelType w:val="hybridMultilevel"/>
    <w:tmpl w:val="400695B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B6513AF"/>
    <w:multiLevelType w:val="hybridMultilevel"/>
    <w:tmpl w:val="B1CC5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BB"/>
    <w:rsid w:val="004D3DB1"/>
    <w:rsid w:val="00575F13"/>
    <w:rsid w:val="00EB1566"/>
    <w:rsid w:val="00E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FE87"/>
  <w15:chartTrackingRefBased/>
  <w15:docId w15:val="{BF8273FB-0667-4D2D-B9D5-EBEA7AA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7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usm.edu/library-information-science/graduate-nondegree-ad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Carr MLC</dc:creator>
  <cp:keywords/>
  <dc:description/>
  <cp:lastModifiedBy>Tracy Carr MLC</cp:lastModifiedBy>
  <cp:revision>1</cp:revision>
  <dcterms:created xsi:type="dcterms:W3CDTF">2018-06-04T21:14:00Z</dcterms:created>
  <dcterms:modified xsi:type="dcterms:W3CDTF">2018-06-04T21:16:00Z</dcterms:modified>
</cp:coreProperties>
</file>